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850" w:leftChars="-405"/>
        <w:jc w:val="center"/>
        <w:rPr>
          <w:rFonts w:ascii="仿宋" w:hAnsi="仿宋" w:eastAsia="仿宋"/>
          <w:b/>
          <w:sz w:val="32"/>
          <w:szCs w:val="32"/>
        </w:rPr>
      </w:pPr>
      <w:r>
        <w:rPr>
          <w:rFonts w:hint="eastAsia" w:asciiTheme="minorEastAsia" w:hAnsiTheme="minorEastAsia"/>
          <w:b/>
          <w:color w:val="000000" w:themeColor="text1"/>
          <w:sz w:val="40"/>
          <w:szCs w:val="44"/>
          <w14:textFill>
            <w14:solidFill>
              <w14:schemeClr w14:val="tx1"/>
            </w14:solidFill>
          </w14:textFill>
        </w:rPr>
        <w:t>《广告设计》课程线上学习方案</w:t>
      </w:r>
    </w:p>
    <w:p>
      <w:pPr>
        <w:spacing w:line="360" w:lineRule="auto"/>
        <w:ind w:left="-850" w:leftChars="-405"/>
        <w:rPr>
          <w:rFonts w:asciiTheme="minorEastAsia" w:hAnsiTheme="minorEastAsia"/>
          <w:b/>
          <w:color w:val="000000" w:themeColor="text1"/>
          <w:sz w:val="40"/>
          <w:szCs w:val="44"/>
          <w14:textFill>
            <w14:solidFill>
              <w14:schemeClr w14:val="tx1"/>
            </w14:solidFill>
          </w14:textFill>
        </w:rPr>
      </w:pPr>
      <w:r>
        <w:rPr>
          <w:rFonts w:hint="eastAsia" w:ascii="仿宋" w:hAnsi="仿宋" w:eastAsia="仿宋"/>
          <w:b/>
          <w:sz w:val="32"/>
          <w:szCs w:val="32"/>
        </w:rPr>
        <w:t xml:space="preserve">         一、课程基本信息</w:t>
      </w:r>
    </w:p>
    <w:tbl>
      <w:tblPr>
        <w:tblStyle w:val="4"/>
        <w:tblpPr w:leftFromText="180" w:rightFromText="180" w:vertAnchor="text" w:horzAnchor="page" w:tblpX="1600" w:tblpY="339"/>
        <w:tblOverlap w:val="never"/>
        <w:tblW w:w="8923" w:type="dxa"/>
        <w:tblInd w:w="0" w:type="dxa"/>
        <w:tblLayout w:type="fixed"/>
        <w:tblCellMar>
          <w:top w:w="0" w:type="dxa"/>
          <w:left w:w="108" w:type="dxa"/>
          <w:bottom w:w="0" w:type="dxa"/>
          <w:right w:w="108" w:type="dxa"/>
        </w:tblCellMar>
      </w:tblPr>
      <w:tblGrid>
        <w:gridCol w:w="1727"/>
        <w:gridCol w:w="1559"/>
        <w:gridCol w:w="1843"/>
        <w:gridCol w:w="3794"/>
      </w:tblGrid>
      <w:tr>
        <w:tblPrEx>
          <w:tblLayout w:type="fixed"/>
          <w:tblCellMar>
            <w:top w:w="0" w:type="dxa"/>
            <w:left w:w="108" w:type="dxa"/>
            <w:bottom w:w="0" w:type="dxa"/>
            <w:right w:w="108" w:type="dxa"/>
          </w:tblCellMar>
        </w:tblPrEx>
        <w:tc>
          <w:tcPr>
            <w:tcW w:w="1727" w:type="dxa"/>
          </w:tcPr>
          <w:p>
            <w:pPr>
              <w:widowControl/>
              <w:spacing w:line="440" w:lineRule="exact"/>
              <w:rPr>
                <w:rFonts w:ascii="宋体" w:cs="Tahoma"/>
                <w:bCs/>
                <w:spacing w:val="-20"/>
                <w:sz w:val="24"/>
              </w:rPr>
            </w:pPr>
            <w:r>
              <w:rPr>
                <w:rFonts w:hint="eastAsia" w:ascii="宋体" w:cs="Tahoma"/>
                <w:bCs/>
                <w:spacing w:val="-20"/>
                <w:sz w:val="24"/>
              </w:rPr>
              <w:t>课程类别及性质：</w:t>
            </w:r>
          </w:p>
        </w:tc>
        <w:tc>
          <w:tcPr>
            <w:tcW w:w="1559" w:type="dxa"/>
          </w:tcPr>
          <w:p>
            <w:pPr>
              <w:widowControl/>
              <w:spacing w:line="440" w:lineRule="exact"/>
              <w:rPr>
                <w:rFonts w:ascii="宋体" w:cs="Tahoma"/>
                <w:bCs/>
                <w:sz w:val="24"/>
              </w:rPr>
            </w:pPr>
            <w:r>
              <w:rPr>
                <w:rFonts w:hint="eastAsia" w:ascii="宋体" w:cs="宋体"/>
                <w:sz w:val="24"/>
                <w:lang w:val="zh-CN"/>
              </w:rPr>
              <w:t>专业必修课</w:t>
            </w:r>
          </w:p>
        </w:tc>
        <w:tc>
          <w:tcPr>
            <w:tcW w:w="5637" w:type="dxa"/>
            <w:gridSpan w:val="2"/>
          </w:tcPr>
          <w:p>
            <w:pPr>
              <w:widowControl/>
              <w:spacing w:line="440" w:lineRule="exact"/>
              <w:rPr>
                <w:rFonts w:ascii="宋体" w:cs="Tahoma"/>
                <w:bCs/>
                <w:spacing w:val="-4"/>
                <w:sz w:val="24"/>
              </w:rPr>
            </w:pPr>
            <w:r>
              <w:rPr>
                <w:rFonts w:hint="eastAsia" w:ascii="宋体" w:hAnsi="宋体" w:cs="Tahoma"/>
                <w:bCs/>
                <w:spacing w:val="-4"/>
                <w:sz w:val="24"/>
              </w:rPr>
              <w:t>适用</w:t>
            </w:r>
            <w:r>
              <w:rPr>
                <w:rFonts w:ascii="宋体" w:hAnsi="宋体" w:cs="Tahoma"/>
                <w:bCs/>
                <w:spacing w:val="-4"/>
                <w:sz w:val="24"/>
              </w:rPr>
              <w:t>20</w:t>
            </w:r>
            <w:r>
              <w:rPr>
                <w:rFonts w:ascii="宋体" w:hAnsi="宋体" w:cs="Tahoma"/>
                <w:bCs/>
                <w:sz w:val="24"/>
              </w:rPr>
              <w:t>1</w:t>
            </w:r>
            <w:r>
              <w:rPr>
                <w:rFonts w:hint="eastAsia" w:ascii="宋体" w:hAnsi="宋体" w:cs="Tahoma"/>
                <w:bCs/>
                <w:sz w:val="24"/>
              </w:rPr>
              <w:t>7版人才培养方案</w:t>
            </w:r>
            <w:r>
              <w:rPr>
                <w:rFonts w:hint="eastAsia" w:ascii="宋体" w:hAnsi="宋体" w:cs="Tahoma"/>
                <w:bCs/>
                <w:sz w:val="24"/>
                <w:lang w:eastAsia="zh-CN"/>
              </w:rPr>
              <w:t>视觉传达设计</w:t>
            </w:r>
            <w:r>
              <w:rPr>
                <w:rFonts w:hint="eastAsia" w:ascii="宋体" w:hAnsi="宋体" w:cs="Tahoma"/>
                <w:bCs/>
                <w:sz w:val="24"/>
              </w:rPr>
              <w:t>专业</w:t>
            </w:r>
          </w:p>
        </w:tc>
      </w:tr>
      <w:tr>
        <w:tblPrEx>
          <w:tblLayout w:type="fixed"/>
          <w:tblCellMar>
            <w:top w:w="0" w:type="dxa"/>
            <w:left w:w="108" w:type="dxa"/>
            <w:bottom w:w="0" w:type="dxa"/>
            <w:right w:w="108" w:type="dxa"/>
          </w:tblCellMar>
        </w:tblPrEx>
        <w:tc>
          <w:tcPr>
            <w:tcW w:w="1727" w:type="dxa"/>
          </w:tcPr>
          <w:p>
            <w:pPr>
              <w:widowControl/>
              <w:spacing w:line="440" w:lineRule="exact"/>
              <w:rPr>
                <w:rFonts w:ascii="宋体" w:cs="Tahoma"/>
                <w:bCs/>
                <w:sz w:val="24"/>
              </w:rPr>
            </w:pPr>
            <w:r>
              <w:rPr>
                <w:rFonts w:hint="eastAsia" w:ascii="宋体" w:hAnsi="宋体" w:cs="Tahoma"/>
                <w:bCs/>
                <w:sz w:val="24"/>
              </w:rPr>
              <w:t>课程编码：</w:t>
            </w:r>
          </w:p>
        </w:tc>
        <w:tc>
          <w:tcPr>
            <w:tcW w:w="1559" w:type="dxa"/>
          </w:tcPr>
          <w:p>
            <w:pPr>
              <w:widowControl/>
              <w:spacing w:line="440" w:lineRule="exact"/>
              <w:rPr>
                <w:rFonts w:ascii="宋体" w:cs="Tahoma"/>
                <w:bCs/>
                <w:sz w:val="24"/>
              </w:rPr>
            </w:pPr>
            <w:r>
              <w:rPr>
                <w:rFonts w:ascii="宋体" w:hAnsi="宋体" w:cs="宋体"/>
                <w:sz w:val="24"/>
                <w:lang w:val="zh-CN"/>
              </w:rPr>
              <w:t>255111</w:t>
            </w:r>
          </w:p>
        </w:tc>
        <w:tc>
          <w:tcPr>
            <w:tcW w:w="1843" w:type="dxa"/>
          </w:tcPr>
          <w:p>
            <w:pPr>
              <w:widowControl/>
              <w:spacing w:line="440" w:lineRule="exact"/>
              <w:rPr>
                <w:rFonts w:ascii="宋体" w:cs="Tahoma"/>
                <w:bCs/>
                <w:sz w:val="24"/>
              </w:rPr>
            </w:pPr>
            <w:r>
              <w:rPr>
                <w:rFonts w:hint="eastAsia" w:ascii="宋体" w:hAnsi="宋体" w:cs="Tahoma"/>
                <w:bCs/>
                <w:sz w:val="24"/>
              </w:rPr>
              <w:t>总学时及学分：</w:t>
            </w:r>
          </w:p>
        </w:tc>
        <w:tc>
          <w:tcPr>
            <w:tcW w:w="3794" w:type="dxa"/>
          </w:tcPr>
          <w:p>
            <w:pPr>
              <w:widowControl/>
              <w:spacing w:line="440" w:lineRule="exact"/>
              <w:rPr>
                <w:rFonts w:ascii="宋体" w:hAnsi="宋体" w:cs="Tahoma"/>
                <w:spacing w:val="-20"/>
                <w:sz w:val="24"/>
              </w:rPr>
            </w:pPr>
            <w:r>
              <w:rPr>
                <w:rFonts w:hint="eastAsia" w:ascii="宋体" w:hAnsi="宋体" w:cs="Tahoma"/>
                <w:sz w:val="24"/>
              </w:rPr>
              <w:t>7</w:t>
            </w:r>
            <w:r>
              <w:rPr>
                <w:rFonts w:ascii="宋体" w:hAnsi="宋体" w:cs="Tahoma"/>
                <w:sz w:val="24"/>
              </w:rPr>
              <w:t>2</w:t>
            </w:r>
            <w:r>
              <w:rPr>
                <w:rFonts w:hint="eastAsia" w:ascii="宋体" w:hAnsi="宋体" w:cs="Tahoma"/>
                <w:sz w:val="24"/>
              </w:rPr>
              <w:t>学时</w:t>
            </w:r>
            <w:r>
              <w:rPr>
                <w:rFonts w:ascii="宋体" w:hAnsi="宋体" w:cs="Tahoma"/>
                <w:spacing w:val="-20"/>
                <w:sz w:val="24"/>
              </w:rPr>
              <w:t>(</w:t>
            </w:r>
            <w:r>
              <w:rPr>
                <w:rFonts w:hint="eastAsia" w:ascii="宋体" w:hAnsi="宋体" w:cs="Tahoma"/>
                <w:spacing w:val="-20"/>
                <w:sz w:val="24"/>
              </w:rPr>
              <w:t>理论</w:t>
            </w:r>
            <w:r>
              <w:rPr>
                <w:rFonts w:ascii="宋体" w:hAnsi="宋体" w:cs="Tahoma"/>
                <w:spacing w:val="-20"/>
                <w:sz w:val="24"/>
              </w:rPr>
              <w:t>32</w:t>
            </w:r>
            <w:r>
              <w:rPr>
                <w:rFonts w:hint="eastAsia" w:ascii="宋体" w:hAnsi="宋体" w:cs="Tahoma"/>
                <w:spacing w:val="-20"/>
                <w:sz w:val="24"/>
              </w:rPr>
              <w:t>；课内实践</w:t>
            </w:r>
            <w:r>
              <w:rPr>
                <w:rFonts w:ascii="宋体" w:hAnsi="宋体" w:cs="Tahoma"/>
                <w:spacing w:val="-20"/>
                <w:sz w:val="24"/>
              </w:rPr>
              <w:t>40)</w:t>
            </w:r>
          </w:p>
          <w:p>
            <w:pPr>
              <w:widowControl/>
              <w:spacing w:line="440" w:lineRule="exact"/>
              <w:rPr>
                <w:rFonts w:ascii="宋体" w:cs="Tahoma"/>
                <w:sz w:val="24"/>
              </w:rPr>
            </w:pPr>
            <w:r>
              <w:rPr>
                <w:rFonts w:ascii="宋体" w:hAnsi="宋体" w:cs="Tahoma"/>
                <w:spacing w:val="-20"/>
                <w:sz w:val="24"/>
              </w:rPr>
              <w:t xml:space="preserve"> 4.5</w:t>
            </w:r>
            <w:r>
              <w:rPr>
                <w:rFonts w:hint="eastAsia" w:ascii="宋体" w:hAnsi="宋体" w:cs="Tahoma"/>
                <w:spacing w:val="-20"/>
                <w:sz w:val="24"/>
              </w:rPr>
              <w:t>学分</w:t>
            </w:r>
          </w:p>
        </w:tc>
      </w:tr>
      <w:tr>
        <w:tblPrEx>
          <w:tblLayout w:type="fixed"/>
          <w:tblCellMar>
            <w:top w:w="0" w:type="dxa"/>
            <w:left w:w="108" w:type="dxa"/>
            <w:bottom w:w="0" w:type="dxa"/>
            <w:right w:w="108" w:type="dxa"/>
          </w:tblCellMar>
        </w:tblPrEx>
        <w:trPr>
          <w:trHeight w:val="263" w:hRule="atLeast"/>
        </w:trPr>
        <w:tc>
          <w:tcPr>
            <w:tcW w:w="1727" w:type="dxa"/>
            <w:vAlign w:val="center"/>
          </w:tcPr>
          <w:p>
            <w:pPr>
              <w:widowControl/>
              <w:spacing w:line="440" w:lineRule="exact"/>
              <w:rPr>
                <w:rFonts w:ascii="宋体" w:cs="Tahoma"/>
                <w:bCs/>
                <w:sz w:val="24"/>
              </w:rPr>
            </w:pPr>
            <w:r>
              <w:rPr>
                <w:rFonts w:hint="eastAsia" w:ascii="宋体" w:hAnsi="宋体" w:cs="Tahoma"/>
                <w:bCs/>
                <w:sz w:val="24"/>
              </w:rPr>
              <w:t>考核方式：</w:t>
            </w:r>
          </w:p>
        </w:tc>
        <w:tc>
          <w:tcPr>
            <w:tcW w:w="1559" w:type="dxa"/>
            <w:vAlign w:val="center"/>
          </w:tcPr>
          <w:p>
            <w:pPr>
              <w:widowControl/>
              <w:spacing w:line="440" w:lineRule="exact"/>
              <w:rPr>
                <w:rFonts w:ascii="宋体" w:cs="Tahoma"/>
                <w:bCs/>
                <w:sz w:val="18"/>
                <w:szCs w:val="18"/>
              </w:rPr>
            </w:pPr>
            <w:r>
              <w:rPr>
                <w:rFonts w:hint="eastAsia" w:ascii="宋体" w:hAnsi="宋体" w:cs="Tahoma"/>
                <w:bCs/>
                <w:sz w:val="24"/>
              </w:rPr>
              <w:t>考试</w:t>
            </w:r>
          </w:p>
        </w:tc>
        <w:tc>
          <w:tcPr>
            <w:tcW w:w="1843" w:type="dxa"/>
          </w:tcPr>
          <w:p>
            <w:pPr>
              <w:widowControl/>
              <w:spacing w:line="440" w:lineRule="exact"/>
              <w:jc w:val="left"/>
              <w:rPr>
                <w:rFonts w:ascii="宋体" w:cs="Tahoma"/>
                <w:bCs/>
                <w:sz w:val="24"/>
              </w:rPr>
            </w:pPr>
            <w:r>
              <w:rPr>
                <w:rFonts w:hint="eastAsia" w:ascii="宋体" w:hAnsi="宋体" w:cs="Tahoma"/>
                <w:bCs/>
                <w:sz w:val="24"/>
              </w:rPr>
              <w:t>开课学期：</w:t>
            </w:r>
          </w:p>
        </w:tc>
        <w:tc>
          <w:tcPr>
            <w:tcW w:w="3794" w:type="dxa"/>
          </w:tcPr>
          <w:p>
            <w:pPr>
              <w:widowControl/>
              <w:spacing w:line="440" w:lineRule="exact"/>
              <w:rPr>
                <w:rFonts w:ascii="宋体" w:cs="Tahoma"/>
                <w:bCs/>
                <w:sz w:val="24"/>
              </w:rPr>
            </w:pPr>
            <w:r>
              <w:rPr>
                <w:rFonts w:hint="eastAsia" w:ascii="宋体" w:hAnsi="宋体" w:cs="Tahoma"/>
                <w:sz w:val="24"/>
              </w:rPr>
              <w:t>第六学期</w:t>
            </w:r>
            <w:r>
              <w:rPr>
                <w:rFonts w:ascii="宋体" w:hAnsi="宋体" w:cs="Tahoma"/>
                <w:sz w:val="24"/>
              </w:rPr>
              <w:t xml:space="preserve">  </w:t>
            </w:r>
            <w:bookmarkStart w:id="0" w:name="_GoBack"/>
            <w:bookmarkEnd w:id="0"/>
          </w:p>
        </w:tc>
      </w:tr>
    </w:tbl>
    <w:p>
      <w:pPr>
        <w:spacing w:line="360" w:lineRule="auto"/>
        <w:ind w:firstLine="660"/>
        <w:rPr>
          <w:rFonts w:ascii="仿宋" w:hAnsi="仿宋" w:eastAsia="仿宋"/>
          <w:b/>
          <w:sz w:val="32"/>
          <w:szCs w:val="32"/>
        </w:rPr>
      </w:pPr>
      <w:r>
        <w:rPr>
          <w:rFonts w:hint="eastAsia" w:ascii="仿宋" w:hAnsi="仿宋" w:eastAsia="仿宋"/>
          <w:b/>
          <w:color w:val="000000" w:themeColor="text1"/>
          <w:sz w:val="32"/>
          <w:szCs w:val="32"/>
          <w14:textFill>
            <w14:solidFill>
              <w14:schemeClr w14:val="tx1"/>
            </w14:solidFill>
          </w14:textFill>
        </w:rPr>
        <w:t>二、</w:t>
      </w:r>
      <w:r>
        <w:rPr>
          <w:rFonts w:hint="eastAsia" w:ascii="仿宋" w:hAnsi="仿宋" w:eastAsia="仿宋"/>
          <w:b/>
          <w:sz w:val="32"/>
          <w:szCs w:val="32"/>
        </w:rPr>
        <w:t>线上课程学习内容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b/>
          <w:color w:val="000000" w:themeColor="text1"/>
          <w:sz w:val="28"/>
          <w14:textFill>
            <w14:solidFill>
              <w14:schemeClr w14:val="tx1"/>
            </w14:solidFill>
          </w14:textFill>
        </w:rPr>
        <w:t>第一章  广告设计的基本概念 8学时</w:t>
      </w:r>
      <w:r>
        <w:rPr>
          <w:rFonts w:hint="eastAsia" w:ascii="仿宋" w:hAnsi="仿宋" w:eastAsia="仿宋" w:cs="宋体"/>
          <w:color w:val="000000" w:themeColor="text1"/>
          <w:sz w:val="28"/>
          <w14:textFill>
            <w14:solidFill>
              <w14:schemeClr w14:val="tx1"/>
            </w14:solidFill>
          </w14:textFill>
        </w:rPr>
        <w:t>（理论4学时、课内实践4学时）</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第一节 广告的概念</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第二节 广告的特点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第三节 广告的任务</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第四节 现代广告发展</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第五节 促进广告形态变化的因素</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理论教学重点：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本章主要针对广告设计的概念、特点、任务、现代广告的发展以及促进广告形态变化的因素等知识进行介绍。</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目的要求：通过对广告设计基本理论的认识和学习，有助于在广告设计的后期进行更好的创作。</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本章课外作业要求：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通过查阅各类文献和参考网络上的相关资料，加强对广告设计原理的理解，为下一步课程内容更好的推广奠定基础。</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b/>
          <w:color w:val="000000" w:themeColor="text1"/>
          <w:sz w:val="28"/>
          <w14:textFill>
            <w14:solidFill>
              <w14:schemeClr w14:val="tx1"/>
            </w14:solidFill>
          </w14:textFill>
        </w:rPr>
        <w:t>第二章  广告设计心理学 8学时</w:t>
      </w:r>
      <w:r>
        <w:rPr>
          <w:rFonts w:hint="eastAsia" w:ascii="仿宋" w:hAnsi="仿宋" w:eastAsia="仿宋" w:cs="宋体"/>
          <w:color w:val="000000" w:themeColor="text1"/>
          <w:sz w:val="28"/>
          <w14:textFill>
            <w14:solidFill>
              <w14:schemeClr w14:val="tx1"/>
            </w14:solidFill>
          </w14:textFill>
        </w:rPr>
        <w:t>（理论4学时、课内实践4学时）</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第一节 心理学在广告中的应用</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第二节 消费心理特征分析</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第三节 广告中的想象与暗示</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第四节 广告心理学在设计中的使用原则</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理论教学重点：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本章主要对广告设计心理学的相关内容进行介绍。重点是让学生掌握广告语与心理学的关系。</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实践教学内容及要求：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内容：阅读指定书目。</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目的要求：通过本章节的学习可以帮助学生充分认识心理学在广告设计中的重要作用，为后面的知识学习奠定基础。</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本章课外作业要求：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结合所学的相关知识，对项目进行前期准备。</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b/>
          <w:color w:val="000000" w:themeColor="text1"/>
          <w:sz w:val="28"/>
          <w14:textFill>
            <w14:solidFill>
              <w14:schemeClr w14:val="tx1"/>
            </w14:solidFill>
          </w14:textFill>
        </w:rPr>
        <w:t>第三章  广告设计的策划执行 8学时</w:t>
      </w:r>
      <w:r>
        <w:rPr>
          <w:rFonts w:hint="eastAsia" w:ascii="仿宋" w:hAnsi="仿宋" w:eastAsia="仿宋" w:cs="宋体"/>
          <w:color w:val="000000" w:themeColor="text1"/>
          <w:sz w:val="28"/>
          <w14:textFill>
            <w14:solidFill>
              <w14:schemeClr w14:val="tx1"/>
            </w14:solidFill>
          </w14:textFill>
        </w:rPr>
        <w:t>（理论4学时、课内实践4学时）</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第一节 广告的市场定位</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第二节 现代广告的策划与推广策略</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第三节 广告媒体的类型</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第四节 广告的设计流程</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理论教学重点：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本章主要对广告的市场定位、策划与推广策略、媒体的选择以及设计的流程进行介绍。</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实践教学内容及要求：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内容：搜集相关项目的广告设计资料。</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目的要求：通过本章节的学习可以帮助学生充分认识广告设计的前期策划与构思，为后面的知识学习奠定基础。</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本章课外作业要求：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结合所学的相关知识，对项目进行前期准备。</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b/>
          <w:color w:val="000000" w:themeColor="text1"/>
          <w:sz w:val="28"/>
          <w14:textFill>
            <w14:solidFill>
              <w14:schemeClr w14:val="tx1"/>
            </w14:solidFill>
          </w14:textFill>
        </w:rPr>
        <w:t>第四章 广告设计创意手法 24学时</w:t>
      </w:r>
      <w:r>
        <w:rPr>
          <w:rFonts w:hint="eastAsia" w:ascii="仿宋" w:hAnsi="仿宋" w:eastAsia="仿宋" w:cs="宋体"/>
          <w:color w:val="000000" w:themeColor="text1"/>
          <w:sz w:val="28"/>
          <w14:textFill>
            <w14:solidFill>
              <w14:schemeClr w14:val="tx1"/>
            </w14:solidFill>
          </w14:textFill>
        </w:rPr>
        <w:t>（理论12学时、课内实践12学时）</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第一节 广告创意原则素</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第二节 创意思维方法</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第三节 营造氛围的艺术手法</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第四节 表达功能的特殊手法</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理论教学重点：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本章主要对广告的创意手法、创意思维方法、营造氛围的艺术手法以及设表达功能的特殊手法进行介绍。重点是让学生对当下基本的广告创意手法有直观的了解，并尝试在实践设计中应用。</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实践教学内容及要求：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内容：搜集相关项目的广告设计资料，设定主题作业，提交创意手法方案。</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目的要求：通过本章节的学习可以帮助学生充分认识广告设计创意手法的思路，为后面的知识学习奠定基础。</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本章课外作业要求：</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结合所学的相关知识，对项目进行前期准备。</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b/>
          <w:color w:val="000000" w:themeColor="text1"/>
          <w:sz w:val="28"/>
          <w14:textFill>
            <w14:solidFill>
              <w14:schemeClr w14:val="tx1"/>
            </w14:solidFill>
          </w14:textFill>
        </w:rPr>
        <w:t>第五章 广告的构成要素 24学时</w:t>
      </w:r>
      <w:r>
        <w:rPr>
          <w:rFonts w:hint="eastAsia" w:ascii="仿宋" w:hAnsi="仿宋" w:eastAsia="仿宋" w:cs="宋体"/>
          <w:color w:val="000000" w:themeColor="text1"/>
          <w:sz w:val="28"/>
          <w14:textFill>
            <w14:solidFill>
              <w14:schemeClr w14:val="tx1"/>
            </w14:solidFill>
          </w14:textFill>
        </w:rPr>
        <w:t>（理论8学时、课内实践16学时）</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第一节 广告的文字要素</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第二节 广告的图形要素</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第三节 广告的编排设计</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第四节 广告的色彩应用</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理论教学重点：</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本章主要对广告的文字要素、图形要素、编排设计以及色彩应用进行介绍。</w:t>
      </w:r>
    </w:p>
    <w:p>
      <w:pPr>
        <w:spacing w:line="360" w:lineRule="auto"/>
        <w:ind w:firstLine="66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目的要求：通过本章节的学习可以帮助学生充分认识广告设计，尤其是平面广告设计中的构成要素，以及如何应用这些要素进行广告设计。</w:t>
      </w:r>
    </w:p>
    <w:p>
      <w:pPr>
        <w:spacing w:line="300" w:lineRule="auto"/>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三、</w:t>
      </w:r>
      <w:r>
        <w:rPr>
          <w:rFonts w:hint="eastAsia" w:ascii="仿宋" w:hAnsi="仿宋" w:eastAsia="仿宋"/>
          <w:b/>
          <w:sz w:val="32"/>
          <w:szCs w:val="32"/>
        </w:rPr>
        <w:t>线上课程学习形式</w:t>
      </w:r>
    </w:p>
    <w:p>
      <w:pPr>
        <w:spacing w:line="300" w:lineRule="auto"/>
        <w:ind w:firstLine="560" w:firstLineChars="200"/>
        <w:rPr>
          <w:rFonts w:ascii="仿宋" w:hAnsi="仿宋" w:eastAsia="仿宋" w:cs="宋体"/>
          <w:color w:val="000000" w:themeColor="text1"/>
          <w:sz w:val="28"/>
          <w14:textFill>
            <w14:solidFill>
              <w14:schemeClr w14:val="tx1"/>
            </w14:solidFill>
          </w14:textFill>
        </w:rPr>
      </w:pPr>
      <w:r>
        <w:rPr>
          <w:rFonts w:hint="eastAsia" w:ascii="仿宋" w:hAnsi="仿宋" w:eastAsia="仿宋" w:cs="宋体"/>
          <w:color w:val="000000" w:themeColor="text1"/>
          <w:sz w:val="28"/>
          <w14:textFill>
            <w14:solidFill>
              <w14:schemeClr w14:val="tx1"/>
            </w14:solidFill>
          </w14:textFill>
        </w:rPr>
        <w:t>超星学习通授课，课后QQ线上辅导、答疑。</w:t>
      </w:r>
    </w:p>
    <w:p>
      <w:pPr>
        <w:spacing w:line="300" w:lineRule="auto"/>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四、</w:t>
      </w:r>
      <w:r>
        <w:rPr>
          <w:rFonts w:hint="eastAsia" w:ascii="仿宋" w:hAnsi="仿宋" w:eastAsia="仿宋"/>
          <w:b/>
          <w:sz w:val="32"/>
          <w:szCs w:val="32"/>
        </w:rPr>
        <w:t>线上课程安排</w:t>
      </w:r>
    </w:p>
    <w:p>
      <w:pPr>
        <w:spacing w:line="300" w:lineRule="auto"/>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1-6周（3月2日——4月10日），12节/周，</w:t>
      </w:r>
      <w:r>
        <w:rPr>
          <w:rFonts w:hint="eastAsia" w:ascii="仿宋" w:hAnsi="仿宋" w:eastAsia="仿宋"/>
          <w:bCs/>
          <w:color w:val="000000" w:themeColor="text1"/>
          <w:sz w:val="32"/>
          <w:szCs w:val="32"/>
          <w:lang w:val="en-US" w:eastAsia="zh-CN"/>
          <w14:textFill>
            <w14:solidFill>
              <w14:schemeClr w14:val="tx1"/>
            </w14:solidFill>
          </w14:textFill>
        </w:rPr>
        <w:t>4</w:t>
      </w:r>
      <w:r>
        <w:rPr>
          <w:rFonts w:hint="eastAsia" w:ascii="仿宋" w:hAnsi="仿宋" w:eastAsia="仿宋"/>
          <w:bCs/>
          <w:color w:val="000000" w:themeColor="text1"/>
          <w:sz w:val="32"/>
          <w:szCs w:val="32"/>
          <w14:textFill>
            <w14:solidFill>
              <w14:schemeClr w14:val="tx1"/>
            </w14:solidFill>
          </w14:textFill>
        </w:rPr>
        <w:t>节/天。线上教学完成理论学时：72学时。线上实践学时采用</w:t>
      </w:r>
      <w:r>
        <w:rPr>
          <w:rFonts w:hint="eastAsia" w:ascii="仿宋" w:hAnsi="仿宋" w:eastAsia="仿宋"/>
          <w:color w:val="000000" w:themeColor="text1"/>
          <w:sz w:val="28"/>
          <w:szCs w:val="28"/>
          <w14:textFill>
            <w14:solidFill>
              <w14:schemeClr w14:val="tx1"/>
            </w14:solidFill>
          </w14:textFill>
        </w:rPr>
        <w:t>QQ群，</w:t>
      </w:r>
      <w:r>
        <w:rPr>
          <w:rFonts w:hint="eastAsia" w:ascii="仿宋" w:hAnsi="仿宋" w:eastAsia="仿宋"/>
          <w:bCs/>
          <w:color w:val="000000" w:themeColor="text1"/>
          <w:sz w:val="32"/>
          <w:szCs w:val="32"/>
          <w14:textFill>
            <w14:solidFill>
              <w14:schemeClr w14:val="tx1"/>
            </w14:solidFill>
          </w14:textFill>
        </w:rPr>
        <w:t>线上分组或者一对一进行设计实践的相关文件修改反馈与指导。</w:t>
      </w:r>
    </w:p>
    <w:p>
      <w:pPr>
        <w:spacing w:line="300" w:lineRule="auto"/>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五、作业和考核要求</w:t>
      </w:r>
    </w:p>
    <w:p>
      <w:pPr>
        <w:spacing w:line="300" w:lineRule="auto"/>
        <w:ind w:firstLine="560" w:firstLineChars="200"/>
        <w:rPr>
          <w:rFonts w:hint="eastAsia" w:ascii="仿宋" w:hAnsi="仿宋" w:eastAsia="仿宋" w:cs="Tahoma"/>
          <w:color w:val="000000" w:themeColor="text1"/>
          <w:sz w:val="28"/>
          <w:szCs w:val="28"/>
          <w14:textFill>
            <w14:solidFill>
              <w14:schemeClr w14:val="tx1"/>
            </w14:solidFill>
          </w14:textFill>
        </w:rPr>
      </w:pPr>
      <w:r>
        <w:rPr>
          <w:rFonts w:hint="eastAsia" w:ascii="仿宋" w:hAnsi="仿宋" w:eastAsia="仿宋" w:cs="Tahoma"/>
          <w:color w:val="000000" w:themeColor="text1"/>
          <w:sz w:val="28"/>
          <w:szCs w:val="28"/>
          <w14:textFill>
            <w14:solidFill>
              <w14:schemeClr w14:val="tx1"/>
            </w14:solidFill>
          </w14:textFill>
        </w:rPr>
        <w:t>作业一：以抗击“新冠肺炎”疫情为内容开展自主创作，围绕国家权威媒体发布的有关抗疫防疫的政策文件、新闻素材开展内容为抗疫防疫相关知识科普宣传；弘扬正能量，歌颂奋战在抗疫第一线的医务等各行业工作者；疫情对群众生活带来的影响，结合热点事件，放宽角度和视野，创作相关内容。结合疫情形势围绕专业特点进行创作等。作品形式公益</w:t>
      </w:r>
      <w:r>
        <w:rPr>
          <w:rFonts w:ascii="仿宋" w:hAnsi="仿宋" w:eastAsia="仿宋" w:cs="Tahoma"/>
          <w:color w:val="000000" w:themeColor="text1"/>
          <w:sz w:val="28"/>
          <w:szCs w:val="28"/>
          <w14:textFill>
            <w14:solidFill>
              <w14:schemeClr w14:val="tx1"/>
            </w14:solidFill>
          </w14:textFill>
        </w:rPr>
        <w:t>广告</w:t>
      </w:r>
      <w:r>
        <w:rPr>
          <w:rFonts w:hint="eastAsia" w:ascii="仿宋" w:hAnsi="仿宋" w:eastAsia="仿宋" w:cs="Tahoma"/>
          <w:color w:val="000000" w:themeColor="text1"/>
          <w:sz w:val="28"/>
          <w:szCs w:val="28"/>
          <w14:textFill>
            <w14:solidFill>
              <w14:schemeClr w14:val="tx1"/>
            </w14:solidFill>
          </w14:textFill>
        </w:rPr>
        <w:t>招贴设计系列作品2副，</w:t>
      </w:r>
      <w:r>
        <w:rPr>
          <w:rFonts w:ascii="仿宋" w:hAnsi="仿宋" w:eastAsia="仿宋" w:cs="Tahoma"/>
          <w:color w:val="000000" w:themeColor="text1"/>
          <w:sz w:val="28"/>
          <w:szCs w:val="28"/>
          <w14:textFill>
            <w14:solidFill>
              <w14:schemeClr w14:val="tx1"/>
            </w14:solidFill>
          </w14:textFill>
        </w:rPr>
        <w:t>尺寸：</w:t>
      </w:r>
      <w:r>
        <w:rPr>
          <w:rFonts w:hint="eastAsia" w:ascii="仿宋" w:hAnsi="仿宋" w:eastAsia="仿宋" w:cs="Tahoma"/>
          <w:color w:val="000000" w:themeColor="text1"/>
          <w:sz w:val="28"/>
          <w:szCs w:val="28"/>
          <w14:textFill>
            <w14:solidFill>
              <w14:schemeClr w14:val="tx1"/>
            </w14:solidFill>
          </w14:textFill>
        </w:rPr>
        <w:t>A4。</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作业二：商业</w:t>
      </w:r>
      <w:r>
        <w:rPr>
          <w:rFonts w:ascii="仿宋" w:hAnsi="仿宋" w:eastAsia="仿宋"/>
          <w:color w:val="000000" w:themeColor="text1"/>
          <w:sz w:val="28"/>
          <w:szCs w:val="28"/>
          <w14:textFill>
            <w14:solidFill>
              <w14:schemeClr w14:val="tx1"/>
            </w14:solidFill>
          </w14:textFill>
        </w:rPr>
        <w:t>广告招贴设计</w:t>
      </w:r>
      <w:r>
        <w:rPr>
          <w:rFonts w:hint="eastAsia" w:ascii="仿宋" w:hAnsi="仿宋" w:eastAsia="仿宋"/>
          <w:color w:val="000000" w:themeColor="text1"/>
          <w:sz w:val="28"/>
          <w:szCs w:val="28"/>
          <w14:textFill>
            <w14:solidFill>
              <w14:schemeClr w14:val="tx1"/>
            </w14:solidFill>
          </w14:textFill>
        </w:rPr>
        <w:t>系列作品2副，尺寸：A4。</w:t>
      </w:r>
    </w:p>
    <w:p>
      <w:pPr>
        <w:spacing w:line="300" w:lineRule="auto"/>
        <w:ind w:firstLine="560"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课外作业：</w:t>
      </w:r>
      <w:r>
        <w:rPr>
          <w:rFonts w:ascii="仿宋" w:hAnsi="仿宋" w:eastAsia="仿宋"/>
          <w:color w:val="000000" w:themeColor="text1"/>
          <w:sz w:val="28"/>
          <w:szCs w:val="28"/>
          <w14:textFill>
            <w14:solidFill>
              <w14:schemeClr w14:val="tx1"/>
            </w14:solidFill>
          </w14:textFill>
        </w:rPr>
        <w:t>文化类广告策划</w:t>
      </w:r>
      <w:r>
        <w:rPr>
          <w:rFonts w:hint="eastAsia" w:ascii="仿宋" w:hAnsi="仿宋" w:eastAsia="仿宋"/>
          <w:color w:val="000000" w:themeColor="text1"/>
          <w:sz w:val="28"/>
          <w:szCs w:val="28"/>
          <w14:textFill>
            <w14:solidFill>
              <w14:schemeClr w14:val="tx1"/>
            </w14:solidFill>
          </w14:textFill>
        </w:rPr>
        <w:t>文案</w:t>
      </w:r>
      <w:r>
        <w:rPr>
          <w:rFonts w:ascii="仿宋" w:hAnsi="仿宋" w:eastAsia="仿宋"/>
          <w:color w:val="000000" w:themeColor="text1"/>
          <w:sz w:val="28"/>
          <w:szCs w:val="28"/>
          <w14:textFill>
            <w14:solidFill>
              <w14:schemeClr w14:val="tx1"/>
            </w14:solidFill>
          </w14:textFill>
        </w:rPr>
        <w:t>与标语设计，并设计制作一幅文化</w:t>
      </w:r>
      <w:r>
        <w:rPr>
          <w:rFonts w:hint="eastAsia" w:ascii="仿宋" w:hAnsi="仿宋" w:eastAsia="仿宋"/>
          <w:color w:val="000000" w:themeColor="text1"/>
          <w:sz w:val="28"/>
          <w:szCs w:val="28"/>
          <w14:textFill>
            <w14:solidFill>
              <w14:schemeClr w14:val="tx1"/>
            </w14:solidFill>
          </w14:textFill>
        </w:rPr>
        <w:t>类广告设计</w:t>
      </w:r>
      <w:r>
        <w:rPr>
          <w:rFonts w:ascii="仿宋" w:hAnsi="仿宋" w:eastAsia="仿宋"/>
          <w:color w:val="000000" w:themeColor="text1"/>
          <w:sz w:val="28"/>
          <w:szCs w:val="28"/>
          <w14:textFill>
            <w14:solidFill>
              <w14:schemeClr w14:val="tx1"/>
            </w14:solidFill>
          </w14:textFill>
        </w:rPr>
        <w:t>作品</w:t>
      </w:r>
      <w:r>
        <w:rPr>
          <w:rFonts w:hint="eastAsia" w:ascii="仿宋" w:hAnsi="仿宋" w:eastAsia="仿宋"/>
          <w:color w:val="000000" w:themeColor="text1"/>
          <w:sz w:val="28"/>
          <w:szCs w:val="28"/>
          <w14:textFill>
            <w14:solidFill>
              <w14:schemeClr w14:val="tx1"/>
            </w14:solidFill>
          </w14:textFill>
        </w:rPr>
        <w:t>。要求</w:t>
      </w:r>
      <w:r>
        <w:rPr>
          <w:rFonts w:hint="eastAsia" w:ascii="仿宋" w:hAnsi="仿宋" w:eastAsia="仿宋" w:cs="Tahoma"/>
          <w:color w:val="000000" w:themeColor="text1"/>
          <w:sz w:val="28"/>
          <w:szCs w:val="28"/>
          <w14:textFill>
            <w14:solidFill>
              <w14:schemeClr w14:val="tx1"/>
            </w14:solidFill>
          </w14:textFill>
        </w:rPr>
        <w:t>提交50*70cm招贴一张</w:t>
      </w:r>
      <w:r>
        <w:rPr>
          <w:rFonts w:hint="eastAsia" w:ascii="仿宋" w:hAnsi="仿宋" w:eastAsia="仿宋"/>
          <w:color w:val="000000" w:themeColor="text1"/>
          <w:sz w:val="28"/>
          <w:szCs w:val="28"/>
          <w14:textFill>
            <w14:solidFill>
              <w14:schemeClr w14:val="tx1"/>
            </w14:solidFill>
          </w14:textFill>
        </w:rPr>
        <w:t>。</w:t>
      </w:r>
    </w:p>
    <w:p>
      <w:pPr>
        <w:spacing w:line="300" w:lineRule="auto"/>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六、监管方式</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 xml:space="preserve">1、线上签到，检验学生在线状态。 </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2、线上随机布置小测验，监控学习听讲状态。</w:t>
      </w:r>
    </w:p>
    <w:p>
      <w:pPr>
        <w:spacing w:line="300" w:lineRule="auto"/>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七、线上教学、考勤、辅导、答疑形式</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1、利用超星学习通进行线上教学，教学期间学生禁言。</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2、教师线上随机考勤，检验学生学习状态。</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3、根据所学知识点、讨论部分内容，在线完成相关笔记和形成文字记录材料。</w:t>
      </w:r>
    </w:p>
    <w:p>
      <w:pPr>
        <w:spacing w:line="30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4、辅导为学生在群上以接龙形式进行提问，老师统一答疑，对学生上交作品，进行一对一私聊交流。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72532"/>
    <w:rsid w:val="000F5B37"/>
    <w:rsid w:val="002E6484"/>
    <w:rsid w:val="004C7640"/>
    <w:rsid w:val="005E0954"/>
    <w:rsid w:val="00615DC0"/>
    <w:rsid w:val="00644E9E"/>
    <w:rsid w:val="00836ECC"/>
    <w:rsid w:val="00896605"/>
    <w:rsid w:val="00925726"/>
    <w:rsid w:val="00941B1B"/>
    <w:rsid w:val="0096756B"/>
    <w:rsid w:val="009E2539"/>
    <w:rsid w:val="00A51983"/>
    <w:rsid w:val="00CA4653"/>
    <w:rsid w:val="00CC0F26"/>
    <w:rsid w:val="00E45B4A"/>
    <w:rsid w:val="00EA7E08"/>
    <w:rsid w:val="00ED4C6B"/>
    <w:rsid w:val="06BA000F"/>
    <w:rsid w:val="100F6353"/>
    <w:rsid w:val="39DB1900"/>
    <w:rsid w:val="65872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294</Words>
  <Characters>1678</Characters>
  <Lines>13</Lines>
  <Paragraphs>3</Paragraphs>
  <TotalTime>68</TotalTime>
  <ScaleCrop>false</ScaleCrop>
  <LinksUpToDate>false</LinksUpToDate>
  <CharactersWithSpaces>1969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2020-02-14T13:25:00Z</dcterms:created>
  <dc:creator>旬恂</dc:creator>
  <cp:lastModifiedBy>红魔方</cp:lastModifiedBy>
  <dcterms:modified xsi:type="dcterms:W3CDTF">2020-02-19T07:04:03Z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